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6E71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596E71">
      <w:pPr>
        <w:pStyle w:val="FORMATTEXT"/>
        <w:jc w:val="right"/>
      </w:pPr>
      <w:r>
        <w:t>УТВЕРЖДЕН</w:t>
      </w:r>
    </w:p>
    <w:p w:rsidR="00000000" w:rsidRDefault="00596E71">
      <w:pPr>
        <w:pStyle w:val="FORMATTEXT"/>
        <w:jc w:val="right"/>
      </w:pPr>
      <w:r>
        <w:fldChar w:fldCharType="begin"/>
      </w:r>
      <w:r>
        <w:instrText xml:space="preserve"> HYPERLINK "kodeks://link/d?nd=902320289&amp;point=mark=000000000000000000000000000000000000000000000000007D</w:instrText>
      </w:r>
      <w:r>
        <w:instrText>I0KA"\o"’’О принятии технического регламента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jc w:val="right"/>
      </w:pPr>
      <w:r>
        <w:instrText>Решение Комиссии Таможенного союза от 09.12.2011 N 875</w:instrText>
      </w:r>
    </w:p>
    <w:p w:rsidR="00000000" w:rsidRDefault="00596E71">
      <w:pPr>
        <w:pStyle w:val="FORMATTEXT"/>
        <w:jc w:val="right"/>
        <w:rPr>
          <w:color w:val="0000AA"/>
          <w:u w:val="single"/>
        </w:rPr>
      </w:pPr>
      <w:r>
        <w:instrText>Статус: действующая редакция (действ. с 06.03.2015)"</w:instrText>
      </w:r>
      <w:r>
        <w:fldChar w:fldCharType="separate"/>
      </w:r>
      <w:r>
        <w:rPr>
          <w:color w:val="0000AA"/>
          <w:u w:val="single"/>
        </w:rPr>
        <w:t>Решением Комиссии</w:t>
      </w:r>
    </w:p>
    <w:p w:rsidR="00000000" w:rsidRDefault="00596E71">
      <w:pPr>
        <w:pStyle w:val="FORMATTEXT"/>
        <w:jc w:val="right"/>
        <w:rPr>
          <w:color w:val="0000AA"/>
          <w:u w:val="single"/>
        </w:rPr>
      </w:pPr>
      <w:r>
        <w:rPr>
          <w:color w:val="0000AA"/>
          <w:u w:val="single"/>
        </w:rPr>
        <w:t>Таможенного союза</w:t>
      </w:r>
    </w:p>
    <w:p w:rsidR="00000000" w:rsidRDefault="00596E71">
      <w:pPr>
        <w:pStyle w:val="FORMATTEXT"/>
        <w:jc w:val="right"/>
      </w:pPr>
      <w:r>
        <w:rPr>
          <w:color w:val="0000AA"/>
          <w:u w:val="single"/>
        </w:rPr>
        <w:t>от</w:t>
      </w:r>
      <w:r>
        <w:rPr>
          <w:color w:val="0000AA"/>
          <w:u w:val="single"/>
        </w:rPr>
        <w:t xml:space="preserve"> 9 декабря 2011 года N 875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>Технический регламент Таможенного союза</w: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>ТР ТС 016/2011</w:t>
      </w:r>
    </w:p>
    <w:p w:rsidR="00000000" w:rsidRDefault="00596E71">
      <w:pPr>
        <w:pStyle w:val="HEADERTEXT"/>
        <w:jc w:val="center"/>
        <w:rPr>
          <w:b/>
          <w:bCs/>
        </w:rPr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 безопасности аппаратов, работающих на газообразном топливе </w:t>
      </w:r>
    </w:p>
    <w:p w:rsidR="00000000" w:rsidRDefault="00596E71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596E71">
      <w:pPr>
        <w:pStyle w:val="FORMATTEXT"/>
        <w:jc w:val="both"/>
      </w:pPr>
      <w:r>
        <w:t xml:space="preserve"> </w:t>
      </w:r>
    </w:p>
    <w:p w:rsidR="00000000" w:rsidRDefault="00596E71">
      <w:pPr>
        <w:pStyle w:val="FORMATTEXT"/>
        <w:ind w:firstLine="568"/>
        <w:jc w:val="both"/>
      </w:pPr>
      <w:r>
        <w:t>Настоящий Технический регламент при</w:t>
      </w:r>
      <w:r>
        <w:t xml:space="preserve">нят </w:t>
      </w:r>
      <w:r>
        <w:fldChar w:fldCharType="begin"/>
      </w:r>
      <w:r>
        <w:instrText xml:space="preserve"> HYPERLINK "kodeks://link/d?nd=902320289&amp;point=mark=000000000000000000000000000000000000000000000000007DI0KA"\o"’’О принятии технического регламента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Комиссии Таможенного союза от</w:instrText>
      </w:r>
      <w:r>
        <w:instrText xml:space="preserve"> 09.12.2011 N 875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действующая редакция (действ. с 06.03.2015)"</w:instrText>
      </w:r>
      <w:r>
        <w:fldChar w:fldCharType="separate"/>
      </w:r>
      <w:r>
        <w:rPr>
          <w:color w:val="0000AA"/>
          <w:u w:val="single"/>
        </w:rPr>
        <w:t>решением Комиссии Таможенного союза от 9 декабря 2011 года N 875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596E71">
      <w:pPr>
        <w:pStyle w:val="FORMATTEXT"/>
        <w:ind w:firstLine="568"/>
        <w:jc w:val="both"/>
      </w:pPr>
      <w:r>
        <w:t xml:space="preserve">В </w:t>
      </w:r>
      <w:r>
        <w:fldChar w:fldCharType="begin"/>
      </w:r>
      <w:r>
        <w:instrText xml:space="preserve"> HYPERLINK "kodeks://link/d?nd=902320289&amp;point=mark=000000000000000000000000000000000000000000000000007DI0KA"\o"’</w:instrText>
      </w:r>
      <w:r>
        <w:instrText>’О принятии технического регламента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Комиссии Таможенного союза от 09.12.2011 N 875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действующая редакция (действ. с 06.03.2015)"</w:instrText>
      </w:r>
      <w:r>
        <w:fldChar w:fldCharType="separate"/>
      </w:r>
      <w:r>
        <w:rPr>
          <w:color w:val="0000AA"/>
          <w:u w:val="single"/>
        </w:rPr>
        <w:t>решение Комиссии Таможенного союза от 9 декабря</w:t>
      </w:r>
      <w:r>
        <w:rPr>
          <w:color w:val="0000AA"/>
          <w:u w:val="single"/>
        </w:rPr>
        <w:t xml:space="preserve"> 2011 года N 875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внесены изменения: </w:t>
      </w:r>
    </w:p>
    <w:p w:rsidR="00000000" w:rsidRDefault="00596E71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"kodeks://link/d?nd=902364821&amp;point=mark=0000000000000000000000000000000000000000000000000064U0IK"\o"’’О приведении договорно-правовой базы Таможенного союза и Единого экономического пространства в ...’’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Коллегии ЕЭК от 16.08.2012 N 125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23.08.2012"</w:instrText>
      </w:r>
      <w:r>
        <w:fldChar w:fldCharType="separate"/>
      </w:r>
      <w:r>
        <w:rPr>
          <w:color w:val="0000AA"/>
          <w:u w:val="single"/>
        </w:rPr>
        <w:t>решением Коллегии ЕЭК от 16 августа 2012 года N 125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596E71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"kodeks://link/d?nd=902384119&amp;point=mark=000000000000000000000000000000000000000000000000007D20K3"\o"’’О внесении и</w:instrText>
      </w:r>
      <w:r>
        <w:instrText>зменений в Решение Комиссии Таможенного союза от 9 декабря 2011 года N 875’’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Коллегии ЕЭК от 04.12.2012 N 251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04.01.2013"</w:instrText>
      </w:r>
      <w:r>
        <w:fldChar w:fldCharType="separate"/>
      </w:r>
      <w:r>
        <w:rPr>
          <w:color w:val="0000AA"/>
          <w:u w:val="single"/>
        </w:rPr>
        <w:t>решением Коллегии ЕЭК от 4 декабря 2012 года N 251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596E71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"kodeks://link/d?nd=499029474&amp;point=mar</w:instrText>
      </w:r>
      <w:r>
        <w:instrText>k=0000000000000000000000000000000000000000000000000064U0IK"\o"’’О внесении изменений в отдельные решения Комиссии Таможенного союза и Евразийской ...’’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Коллегии ЕЭК от 25.06.2013 N 140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действующая редакция (действ. с 30.06.2017)"</w:instrText>
      </w:r>
      <w:r>
        <w:fldChar w:fldCharType="separate"/>
      </w:r>
      <w:r>
        <w:rPr>
          <w:color w:val="0000AA"/>
          <w:u w:val="single"/>
        </w:rPr>
        <w:t>решением Ко</w:t>
      </w:r>
      <w:r>
        <w:rPr>
          <w:color w:val="0000AA"/>
          <w:u w:val="single"/>
        </w:rPr>
        <w:t>ллегии ЕЭК от 25 июня 2013 года N 140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596E71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"kodeks://link/d?nd=420236754&amp;point=mark=0000000000000000000000000000000000000000000000000064U0IK"\o"’’О внесении изменений в единую Товарную номенклатуру внешнеэкономической деятельности ...’’</w:instrText>
      </w:r>
    </w:p>
    <w:p w:rsidR="00000000" w:rsidRDefault="00596E71">
      <w:pPr>
        <w:pStyle w:val="FORMATTEXT"/>
        <w:ind w:firstLine="568"/>
        <w:jc w:val="both"/>
      </w:pPr>
      <w:r>
        <w:instrText>Решение</w:instrText>
      </w:r>
      <w:r>
        <w:instrText xml:space="preserve"> Коллегии ЕЭК от 02.12.2014 N 214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действующая редакция (действ. с 22.05.2015)"</w:instrText>
      </w:r>
      <w:r>
        <w:fldChar w:fldCharType="separate"/>
      </w:r>
      <w:r>
        <w:rPr>
          <w:color w:val="0000AA"/>
          <w:u w:val="single"/>
        </w:rPr>
        <w:t>решением Коллегии ЕЭК от 2 декабря 2014 года N 214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596E71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"kodeks://link/d?nd=420236755&amp;point=mark=0000000000000000000000000000000000000000000000000064U0IK"\o"’</w:instrText>
      </w:r>
      <w:r>
        <w:instrText>’О внесении изменений в единую Товарную номенклатуру внешнеэкономической деятельности ...’’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Коллегии ЕЭК от 02.12.2014 N 215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действующая редакция (действ. с 30.09.2016)"</w:instrText>
      </w:r>
      <w:r>
        <w:fldChar w:fldCharType="separate"/>
      </w:r>
      <w:r>
        <w:rPr>
          <w:color w:val="0000AA"/>
          <w:u w:val="single"/>
        </w:rPr>
        <w:t>решением Коллегии ЕЭК от 2 декабря 2014 года N 215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596E71">
      <w:pPr>
        <w:pStyle w:val="FORMATTEXT"/>
        <w:ind w:firstLine="568"/>
        <w:jc w:val="both"/>
      </w:pPr>
      <w:r>
        <w:fldChar w:fldCharType="begin"/>
      </w:r>
      <w:r>
        <w:instrText xml:space="preserve"> HYPERLINK "ko</w:instrText>
      </w:r>
      <w:r>
        <w:instrText>deks://link/d?nd=420250896&amp;point=mark=0000000000000000000000000000000000000000000000000064U0IK"\o"’’О внесении изменений в Решение Комиссии Таможенного союза от 9 декабря 2011 года N 875’’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Коллегии ЕЭК от 03.02.2015 N 9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06.03.20</w:instrText>
      </w:r>
      <w:r>
        <w:instrText>15"</w:instrText>
      </w:r>
      <w:r>
        <w:fldChar w:fldCharType="separate"/>
      </w:r>
      <w:r>
        <w:rPr>
          <w:color w:val="0000AA"/>
          <w:u w:val="single"/>
        </w:rPr>
        <w:t>решением Коллегии ЕЭК от 3 февраля 2015 года N 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596E71">
      <w:pPr>
        <w:pStyle w:val="FORMATTEXT"/>
        <w:ind w:firstLine="568"/>
        <w:jc w:val="both"/>
      </w:pPr>
      <w:r>
        <w:t xml:space="preserve">- Примечание изготовителя базы данных. </w:t>
      </w:r>
    </w:p>
    <w:p w:rsidR="00000000" w:rsidRDefault="00596E71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596E71">
      <w:pPr>
        <w:pStyle w:val="FORMATTEXT"/>
        <w:jc w:val="both"/>
      </w:pPr>
    </w:p>
    <w:p w:rsidR="00000000" w:rsidRDefault="00596E71">
      <w:pPr>
        <w:pStyle w:val="FORMATTEXT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20"/>
        <w:gridCol w:w="5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"kodeks://link/d?nd=902320289&amp;point=mark=000000000000000000000000000000000000000000000000006500IL"\o"’’О принятии технического регламента Таможенного союза ’’О безопасности аппаратов, работающих на ...’’</w:instrText>
            </w:r>
          </w:p>
          <w:p w:rsidR="00000000" w:rsidRDefault="00596E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Комиссии Таможенного союза от 09.</w:instrText>
            </w:r>
            <w:r>
              <w:rPr>
                <w:sz w:val="18"/>
                <w:szCs w:val="18"/>
              </w:rPr>
              <w:instrText>12.2011 N 875</w:instrText>
            </w:r>
          </w:p>
          <w:p w:rsidR="00000000" w:rsidRDefault="00596E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06.03.2015)"</w:instrText>
            </w:r>
            <w:r w:rsidR="00175A7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Перечни документов по стандартизации, обеспечивающих соблюдение требований настоящего Технического регламента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"kodeks://link/d?nd=499017637&amp;point=mark=00000000000000000000000</w:instrText>
            </w:r>
            <w:r>
              <w:rPr>
                <w:sz w:val="18"/>
                <w:szCs w:val="18"/>
              </w:rPr>
              <w:instrText>0000000000000000000000000006540IN"\o"’’Об утверждении перечня продукции, в отношении которой подача таможенной декларации ...’’</w:instrText>
            </w:r>
          </w:p>
          <w:p w:rsidR="00000000" w:rsidRDefault="00596E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Коллегии ЕЭК от 24.04.2013 N 92</w:instrText>
            </w:r>
          </w:p>
          <w:p w:rsidR="00000000" w:rsidRDefault="00596E71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17.06.2017)"</w:instrText>
            </w:r>
            <w:r w:rsidR="00175A79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продукции, в отношении кото</w:t>
            </w:r>
            <w:r>
              <w:rPr>
                <w:color w:val="0000AA"/>
                <w:sz w:val="18"/>
                <w:szCs w:val="18"/>
                <w:u w:val="single"/>
              </w:rPr>
              <w:t>рой подача таможенной декларации сопровождается представлением документа об оценке соответствия требованиям настоящего Технического регламента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596E7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96E71">
      <w:pPr>
        <w:pStyle w:val="FORMATTEXT"/>
      </w:pPr>
      <w:r>
        <w:fldChar w:fldCharType="begin"/>
      </w:r>
      <w:r>
        <w:instrText xml:space="preserve"> HYPERLINK "kodeks://link/d?nd=902320289&amp;point=mark=000000000000000000000000000000000000000000000000006500</w:instrText>
      </w:r>
      <w:r>
        <w:instrText>IL"\o"’’О принятии технического регламента Таможенного союза ’’О безопасности аппаратов, работающих на ...’’</w:instrText>
      </w:r>
    </w:p>
    <w:p w:rsidR="00000000" w:rsidRDefault="00596E71">
      <w:pPr>
        <w:pStyle w:val="FORMATTEXT"/>
      </w:pPr>
      <w:r>
        <w:instrText>Решение Комиссии Таможенного союза от 09.12.2011 N 875</w:instrText>
      </w:r>
    </w:p>
    <w:p w:rsidR="00000000" w:rsidRDefault="00596E71">
      <w:pPr>
        <w:pStyle w:val="FORMATTEXT"/>
      </w:pPr>
      <w:r>
        <w:instrText>Статус: действующая редакция (действ. с 06.03.2015)"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fldChar w:fldCharType="begin"/>
      </w:r>
      <w:r>
        <w:instrText xml:space="preserve"> HYPERLINK "kodeks://link/d?nd=49901</w:instrText>
      </w:r>
      <w:r>
        <w:instrText>7637&amp;point=mark=000000000000000000000000000000000000000000000000006500IL"\o"’’Об утверждении перечня продукции, в отношении которой подача таможенной декларации ...’’</w:instrText>
      </w:r>
    </w:p>
    <w:p w:rsidR="00000000" w:rsidRDefault="00596E71">
      <w:pPr>
        <w:pStyle w:val="FORMATTEXT"/>
      </w:pPr>
      <w:r>
        <w:instrText>Решение Коллегии ЕЭК от 24.04.2013 N 92</w:instrText>
      </w:r>
    </w:p>
    <w:p w:rsidR="00000000" w:rsidRDefault="00596E71">
      <w:pPr>
        <w:pStyle w:val="FORMATTEXT"/>
      </w:pPr>
      <w:r>
        <w:instrText>Статус: действующая редакция (действ. с</w:instrText>
      </w:r>
      <w:r>
        <w:instrText xml:space="preserve"> 17.06.2017)"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596E71">
      <w:pPr>
        <w:pStyle w:val="FORMATTEXT"/>
      </w:pPr>
      <w:r>
        <w:t xml:space="preserve">      </w:t>
      </w: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Предисловие </w:t>
      </w:r>
    </w:p>
    <w:p w:rsidR="00000000" w:rsidRDefault="00596E71">
      <w:pPr>
        <w:pStyle w:val="FORMATTEXT"/>
        <w:ind w:firstLine="568"/>
        <w:jc w:val="both"/>
      </w:pPr>
      <w:r>
        <w:t xml:space="preserve">1. Настоящий технический регламент разработан в соответствии с </w:t>
      </w:r>
      <w:r>
        <w:fldChar w:fldCharType="begin"/>
      </w:r>
      <w:r>
        <w:instrText xml:space="preserve"> HYPERLINK "kodeks://link/d?nd=902253396&amp;point=mark=0000000000000000000000000000000000000000000000000064U0IK"\o"’’Соглашение о единых принципах и правила</w:instrText>
      </w:r>
      <w:r>
        <w:instrText>х технического регулирования в Республике Беларусь ...’’</w:instrText>
      </w:r>
    </w:p>
    <w:p w:rsidR="00000000" w:rsidRDefault="00596E71">
      <w:pPr>
        <w:pStyle w:val="FORMATTEXT"/>
        <w:ind w:firstLine="568"/>
        <w:jc w:val="both"/>
      </w:pPr>
      <w:r>
        <w:instrText>Международное соглашение от 18.11.2010</w:instrText>
      </w:r>
    </w:p>
    <w:p w:rsidR="00000000" w:rsidRDefault="00596E71">
      <w:pPr>
        <w:pStyle w:val="FORMATTEXT"/>
        <w:ind w:firstLine="568"/>
        <w:jc w:val="both"/>
      </w:pPr>
      <w:r>
        <w:instrText>Статус: недействующий  (действ. с 01.01.2012 по 31.12.2014)"</w:instrText>
      </w:r>
      <w:r>
        <w:fldChar w:fldCharType="separate"/>
      </w:r>
      <w:r>
        <w:rPr>
          <w:color w:val="BF2F1C"/>
          <w:u w:val="single"/>
        </w:rPr>
        <w:t>Соглашением о единых принципах и правилах технического регулирования в Республике Беларусь, Республи</w:t>
      </w:r>
      <w:r>
        <w:rPr>
          <w:color w:val="BF2F1C"/>
          <w:u w:val="single"/>
        </w:rPr>
        <w:t>ке Казахстан и Российской Федерации от 18 ноября 2010 года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2. Настоящий технический регламент устанавливает на единой таможенной территории Таможенного союза единые обязательные для применения и исполнения требования к аппаратам, работающим на газооб</w:t>
      </w:r>
      <w:r>
        <w:t>разном топливе (далее - газоиспользующее оборудование) в целях обеспечения свободного перемещения газоиспользующего оборудования, выпускаемого в обращение на единой таможенной территории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3. Если в отношении газоиспользующего оборудовани</w:t>
      </w:r>
      <w:r>
        <w:t xml:space="preserve">я будут приняты иные технические регламенты Таможенного союза, устанавливающие требования к газоиспользующему оборудованию, отличные от требований настоящего технического регламента, то газоиспользующее оборудование должно соответствовать требованиям этих </w:t>
      </w:r>
      <w:r>
        <w:t>технических регламентов Таможенного союза, действие которых на него распространяется.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1. Область применения </w:t>
      </w:r>
    </w:p>
    <w:p w:rsidR="00000000" w:rsidRDefault="00596E71">
      <w:pPr>
        <w:pStyle w:val="FORMATTEXT"/>
        <w:ind w:firstLine="568"/>
        <w:jc w:val="both"/>
      </w:pPr>
      <w:r>
        <w:t>1. Настоящий технический регламент распространяется на газоиспользующее оборудование, выпускаемое в обращение на единой таможенной террит</w:t>
      </w:r>
      <w:r>
        <w:t>ории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2. В настоящем техническом регламенте под газоиспользующим оборудованием понимаются: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оборудование, предназначенное для приготовления пищи, отопления и горячего водоснабжения, включая оборудование в составе комбинированных аппар</w:t>
      </w:r>
      <w:r>
        <w:t>атов;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lastRenderedPageBreak/>
        <w:t>б) блочные автоматические горелки и газоиспользующее оборудование с блочными автоматическими горелками, указанное в подпункте "а" настоящего пункта;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устройства, предназначенные для встраивания в оборудование и находящиеся в обращении отдельно от</w:t>
      </w:r>
      <w:r>
        <w:t xml:space="preserve"> оборудования, указанного в подпунктах "а" и "б" настоящего пункта, в том числе устройства управления, регулирования и безопасности.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3. Требования настоящего технического регламента устанавливаются в отношении газоиспользующего оборудования, предусмотренн</w:t>
      </w:r>
      <w:r>
        <w:t xml:space="preserve">ого перечнем согласно </w:t>
      </w:r>
      <w:r>
        <w:fldChar w:fldCharType="begin"/>
      </w:r>
      <w:r>
        <w:instrText xml:space="preserve"> HYPERLINK "kodeks://link/d?nd=902320337&amp;point=mark=000000000000000000000000000000000000000000000000007E60KD"\o"’’ТР ТС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</w:instrText>
      </w:r>
      <w:r>
        <w:instrText>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приложению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4. Настоящий технический регламент не распространяется на следующие виды газоиспользующего оборудования: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паро</w:t>
      </w:r>
      <w:r>
        <w:t>вые котлы с давлением пара более 0,07 МПа и водогрейные котлы с температурой воды более 115°С;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оборудование, предназначенное для использования в технологических процессах на промышленных предприятиях, за исключением газоиспользующего оборудования, вклю</w:t>
      </w:r>
      <w:r>
        <w:t xml:space="preserve">ченного в Перечень, приведенный в </w:t>
      </w:r>
      <w:r>
        <w:fldChar w:fldCharType="begin"/>
      </w:r>
      <w:r>
        <w:instrText xml:space="preserve"> HYPERLINK "kodeks://link/d?nd=902320337&amp;point=mark=000000000000000000000000000000000000000000000000007E60KD"\o"’’ТР ТС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</w:instrText>
      </w:r>
      <w:r>
        <w:instrText xml:space="preserve">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оборудование, использующее газ в качестве моторного топлива.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5. Существенными признаками, характе</w:t>
      </w:r>
      <w:r>
        <w:t>ризующими газоиспользующее оборудование, являются: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наименование, модель (тип) и назначение газоиспользующего оборудования;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вид и номинальное давление используемого газа;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номинальная тепловая мощность;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г) напряжение и частота электрического ток</w:t>
      </w:r>
      <w:r>
        <w:t>а (для газоиспользующего оборудования, подключаемого к электрической сети).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6. Идентификация газоиспользующего оборудования проводится с учетом признаков, указанных в </w:t>
      </w:r>
      <w:r>
        <w:fldChar w:fldCharType="begin"/>
      </w:r>
      <w:r>
        <w:instrText xml:space="preserve"> HYPERLINK "kodeks://link/d?nd=902320337&amp;point=mark=000000000000000000000000000000000000</w:instrText>
      </w:r>
      <w:r>
        <w:instrText>000000000000007D80K5"\o"’’ТР ТС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</w:instrText>
      </w:r>
      <w:r>
        <w:instrText xml:space="preserve"> с 15.02.2013"</w:instrText>
      </w:r>
      <w:r>
        <w:fldChar w:fldCharType="separate"/>
      </w:r>
      <w:r>
        <w:rPr>
          <w:color w:val="0000AA"/>
          <w:u w:val="single"/>
        </w:rPr>
        <w:t>пункте 5 статьи 1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путем сравнения с ними характеристик газоиспользующего оборудования, указанных на упаковке, маркировке и в эксплуатационной документации.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7. Настоящий технический регламент устанавлив</w:t>
      </w:r>
      <w:r>
        <w:t>ает требования к газоиспользующему оборудованию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 (пользователей) относитель</w:t>
      </w:r>
      <w:r>
        <w:t>но его назначения и безопасности, а также в целях обеспечения энергетической эффективности и ресурсосбережения.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2. Определения </w:t>
      </w:r>
    </w:p>
    <w:p w:rsidR="00000000" w:rsidRDefault="00596E71">
      <w:pPr>
        <w:pStyle w:val="FORMATTEXT"/>
        <w:ind w:firstLine="568"/>
        <w:jc w:val="both"/>
      </w:pPr>
      <w:r>
        <w:t>В настоящем техническом регламенте используются следующие термины и определения: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"вентиляция камеры сгорания" - проце</w:t>
      </w:r>
      <w:r>
        <w:t>сс вытеснения воздухом несгоревшего газа, находящегося в камере сгорания газоиспользующего оборудования и в дымоходах при отсутствии подачи газа в горелку;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"время розжига газогорелочного устройства" - интервал времени от момента подачи газа в горелку до в</w:t>
      </w:r>
      <w:r>
        <w:t>оспламенения и распространения пламени по всей поверхности газогорелочного устройства;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"газовый тракт" - части оборудования между основным запорным органом и горелкой (горелками), по которым подают или в которых находится газ;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"газообразное топливо" - то</w:t>
      </w:r>
      <w:r>
        <w:t>пливо, находящееся в газообразном состоянии при температуре 15°С и атмосферном давлении 101,325 кПа;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"горелка с полным предварительным смешением" - горелка, в которой газ смешивается с воздухом для горения перед выходными отверстиями горелки или в которую</w:t>
      </w:r>
      <w:r>
        <w:t xml:space="preserve"> подается готовая горючая </w:t>
      </w:r>
      <w:r>
        <w:lastRenderedPageBreak/>
        <w:t>смесь;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"зажигание" - процесс, при котором происходит воспламенение газовоздушной смеси запальной и (или) основной горелки с регистрацией наличия пламени;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"комбинированная горелка" - горелка, предназначенная для раздельного сжига</w:t>
      </w:r>
      <w:r>
        <w:t>ния газообразных или жидких видов топлива;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"норма утечки газа" - допустимая величина утечки газа через газовый тракт при подаче газа во входной патрубок и при закрытом состоянии устройств управления, регулирования и безопасности;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"обращение газоиспользую</w:t>
      </w:r>
      <w:r>
        <w:t>щего оборудования на рынке" - процессы перехода газоиспользующего оборудования от изготовителя к потребителю (пользователю), которые проходит газоиспользующее оборудование после завершения его изготовления;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"партия газоиспользующего оборудования" - опреде</w:t>
      </w:r>
      <w:r>
        <w:t>ленным образом идентифицированное количество единиц газоиспользующего оборудования, изготовленных в одних и тех же условиях технологического процесса;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"повторное зажигание" - зажигание, при котором конструкцией оборудования предусмотрено, что после погаса</w:t>
      </w:r>
      <w:r>
        <w:t>ния пламени во время работы оборудования прекращается подача газа в горелку и начинается выполнение заданной программы автоматического пуска горелки;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"пусковая мощность" - средняя мощность газоиспользующего оборудования в течение интервала времени от моме</w:t>
      </w:r>
      <w:r>
        <w:t>нта подачи газа в горелку до регистрации наличия пламени;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"техническая документация" - система графических и текстовых документов, используемых при конструировании, изготовлении и эксплуатации газоиспользующего оборудования (деталей, сборочных единиц, ком</w:t>
      </w:r>
      <w:r>
        <w:t>плексов и комплектов);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"типовой образец" - идентифицированный по функциональному назначению и конструктивному исполнению образец газоиспользующего оборудования, изготовленный в одних и тех же условиях технологического процесса, отобранный для оценки соотв</w:t>
      </w:r>
      <w:r>
        <w:t>етствия;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"устройство безопасности" - устройство, обеспечивающее автоматическое отключение подачи газа в основную горелку при отклонении контролируемых параметров за допустимые пределы.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3. Правила обращения на рынке </w:t>
      </w:r>
    </w:p>
    <w:p w:rsidR="00000000" w:rsidRDefault="00596E71">
      <w:pPr>
        <w:pStyle w:val="FORMATTEXT"/>
        <w:ind w:firstLine="568"/>
        <w:jc w:val="both"/>
      </w:pPr>
      <w:r>
        <w:t>1. Газоиспользующее оборудова</w:t>
      </w:r>
      <w:r>
        <w:t>ние выпускается в обращение на рынке при его соответствии настоящему техническому регламенту, а также другим техническим регламентам Таможенного союза, действие которых на него распространяется и при условии, что оно прошло подтверждение соответствия согла</w:t>
      </w:r>
      <w:r>
        <w:t xml:space="preserve">сно </w:t>
      </w:r>
      <w:r>
        <w:fldChar w:fldCharType="begin"/>
      </w:r>
      <w:r>
        <w:instrText xml:space="preserve"> HYPERLINK "kodeks://link/d?nd=902320337&amp;point=mark=000000000000000000000000000000000000000000000000007DO0K9"\o"’’ТР ТС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</w:instrText>
      </w:r>
      <w:r>
        <w:instrText xml:space="preserve">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статье 6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согласно другим техническим регламентам Таможенного союза, действие которых на него распростр</w:t>
      </w:r>
      <w:r>
        <w:t>аняется.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4. Требования безопасности </w:t>
      </w:r>
    </w:p>
    <w:p w:rsidR="00000000" w:rsidRDefault="00596E71">
      <w:pPr>
        <w:pStyle w:val="FORMATTEXT"/>
        <w:ind w:firstLine="568"/>
        <w:jc w:val="both"/>
      </w:pPr>
      <w:r>
        <w:t>1. Газоиспользующее оборудование должно исключать опасность взрыва от внешнего источника зажигания.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2. Горелка с полным предварительным смешением должна исключать опасность взрыва при всех предусмотренных изг</w:t>
      </w:r>
      <w:r>
        <w:t>отовителем режимах сжигания газообразного топлива.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3. Комбинированная горелка должна обеспечивать безопасность газоиспользующего оборудования при раздельном сжигании газообразного и жидкого топлива.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4. Конструкция газового тракта газоиспользующего оборуд</w:t>
      </w:r>
      <w:r>
        <w:t>ования должна исключать превышение установленной изготовителем максимально допустимой нормы утечки газа.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5. Соединения газового тракта должны быть герметичны.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6. Газоиспользующее оборудование должно обеспечивать вентиляцию камеры сгорания за счет естеств</w:t>
      </w:r>
      <w:r>
        <w:t>енной тяги или принудительной подачи воздуха перед зажиганием и повторным зажиганием горелки.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7. Пусковая мощность и время розжига горелки газоиспользующего оборудования при зажигании и повторном зажигании, количество попыток повторного зажигания, время о</w:t>
      </w:r>
      <w:r>
        <w:t>тключения подачи газа при погасании пламени должны быть ограничены для предотвращения опасного скопления несгоревшего газа.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8. Горелка должна обеспечивать плавный розжиг с равномерным воспламенением по всей поверхности горелки.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9. Газоиспользующее оборуд</w:t>
      </w:r>
      <w:r>
        <w:t xml:space="preserve">ование, предназначенное для применения во внутренних пространствах и помещениях, должно иметь устройство, обеспечивающее предотвращение скопления несгоревшего газа. Допускается применять газоиспользующее оборудование без подобного устройства в помещениях, </w:t>
      </w:r>
      <w:r>
        <w:t>в соответствии с требованиями к вентиляции помещения, установленными в инструкции по монтажу, техническому обслуживанию и ремонту газоиспользующего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10. Конструкция газоиспользующего оборудования не должна создавать опасность возгорания опорн</w:t>
      </w:r>
      <w:r>
        <w:t>ых и прилегающих к газоиспользующему оборудованию поверхностей.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11. Газоиспользующее оборудование должно обеспечивать устойчивость пламени и отсутствие в продуктах сгорания недопустимых концентраций оксидов углерода и азота.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12. Газоиспользующее оборудов</w:t>
      </w:r>
      <w:r>
        <w:t>ание, соединенное с дымоходом, должно исключать случайный выброс продуктов сгорания в помещение.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13. Газоиспользующее оборудование, соединенное с дымоходом, должно обеспечить прекращение подачи газа к горелке при нарушениях в системе отвода продуктов сгор</w:t>
      </w:r>
      <w:r>
        <w:t>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14. Устройство безопасности отопительного и водонагревательного газоиспользующего оборудования, не соединенного с дымоходом и не оснащенного вытяжным устройством для отвода продуктов сгорания, должно обеспечивать контроль состояния атмосферного возд</w:t>
      </w:r>
      <w:r>
        <w:t>уха и прекращение подачи газа к горелкам при концентрации оксида углерода в воздухе помещения, превышающей предельно допустимую концентрацию.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15. Конденсат, образующийся при пуске, не должен влиять на безопасность газоиспользующего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16. Газо</w:t>
      </w:r>
      <w:r>
        <w:t>использующее оборудование должно исключать образование конденсата при сжигании газообразного топлива (кроме газоиспользующего оборудования, работающего в конденсационном режиме).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17. Материалы, используемые при изготовлении газоиспользующего оборудования,</w:t>
      </w:r>
      <w:r>
        <w:t xml:space="preserve"> которые могут соприкасаться с продуктами питания или водой, используемой в санитарных целях, не должны приводить к ухудшению их качества.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18. Газоиспользующее оборудование должно исключать возникновение неустойчивых положений, деформаций, поломок или изн</w:t>
      </w:r>
      <w:r>
        <w:t>оса, способных снизить его безопасность в течение срока службы.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19. Все детали, находящиеся под давлением, должны выдерживать механические и температурные эксплуатационные нагрузки во избежание возникновения деформаций, влияющих на безопасность газоисполь</w:t>
      </w:r>
      <w:r>
        <w:t>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20. Материалы, применяемые при изготовлении газоиспользующего оборудования, должны соответствовать своему назначению и быть устойчивыми к механическим, тепловым и химическим воздействиям, которым они будут подвергаться в течение срок</w:t>
      </w:r>
      <w:r>
        <w:t>а службы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21. Нагрев поверхности устройств ручного управления и внешних поверхностей газоиспользующего оборудования, с которыми может контактировать пользователь, за исключением поверхностей, выполняющих функцию теплопередачи или нагреваемых </w:t>
      </w:r>
      <w:r>
        <w:t>открытым пламенем, не должен приводить к термическому ожогу.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lastRenderedPageBreak/>
        <w:t>22. Конструкция газоиспользующего оборудования, предназначенного для горячего водоснабжения, должна предусматривать устройство, исключающее термический ожог пользователя водой, применяемой в дан</w:t>
      </w:r>
      <w:r>
        <w:t>ной системе водоснабжения.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23. Колебания электрического напряжения или изменения характеристик вспомогательной энергии, а также отключение энергии и последующее ее восстановление не должны нарушать безопасность газоиспользующего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24. Газоисп</w:t>
      </w:r>
      <w:r>
        <w:t>ользующее оборудование, подключаемое к электрической сети, должно обеспечивать защиту от поражения электрическим током.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25. Если газоиспользующее оборудование оснащено устройствами управления, то их работа не должна нарушать функционирование устройств без</w:t>
      </w:r>
      <w:r>
        <w:t>опасности.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26. Газоиспользующее оборудование должно обеспечивать безопасность при выходе из строя любого из устройств регулирования, управления или безопасности.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27. Устройства управления, регулирования и запорная арматура газоиспользующего оборудования </w:t>
      </w:r>
      <w:r>
        <w:t>должны иметь обозначения и соответствующие указания, предотвращающие ошибочные действия со стороны пользователя.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28. Устройства безопасности, управления и регулирования газоиспользующего оборудования, устанавливаемые и регулируемые изготовителем и не треб</w:t>
      </w:r>
      <w:r>
        <w:t>ующие регулировки монтажником или пользователем, должны быть соответствующим образом защищены.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29. В эксплуатационной документации указывается информация, ограничивающая условия применения газоиспользующего оборудования или предупреждающая о необходимости</w:t>
      </w:r>
      <w:r>
        <w:t xml:space="preserve"> принятия мер по обеспечению безопасности. Требования к информации, содержащейся в эксплуатационной документации, установлены в </w:t>
      </w:r>
      <w:r>
        <w:fldChar w:fldCharType="begin"/>
      </w:r>
      <w:r>
        <w:instrText xml:space="preserve"> HYPERLINK "kodeks://link/d?nd=902320337&amp;point=mark=000000000000000000000000000000000000000000000000007E80KE"\o"’’ТР ТС 016/2011</w:instrText>
      </w:r>
      <w:r>
        <w:instrText xml:space="preserve">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 xml:space="preserve">приложении 2 к настоящему </w:t>
      </w:r>
      <w:r>
        <w:rPr>
          <w:color w:val="0000AA"/>
          <w:u w:val="single"/>
        </w:rPr>
        <w:t>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30. Требования к информации, содержащейся в маркировке газоиспользующего оборудования, установлены в </w:t>
      </w:r>
      <w:r>
        <w:fldChar w:fldCharType="begin"/>
      </w:r>
      <w:r>
        <w:instrText xml:space="preserve"> HYPERLINK "kodeks://link/d?nd=902320337&amp;point=mark=000000000000000000000000000000000000000000000000007EK0KK"\o"’’ТР ТС 016/2</w:instrText>
      </w:r>
      <w:r>
        <w:instrText>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3 к настояще</w:t>
      </w:r>
      <w:r>
        <w:rPr>
          <w:color w:val="0000AA"/>
          <w:u w:val="single"/>
        </w:rPr>
        <w:t>му техническому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5. Обеспечение соответствия требованиям безопасности </w:t>
      </w:r>
    </w:p>
    <w:p w:rsidR="00000000" w:rsidRDefault="00596E71">
      <w:pPr>
        <w:pStyle w:val="FORMATTEXT"/>
        <w:ind w:firstLine="568"/>
        <w:jc w:val="both"/>
      </w:pPr>
      <w:r>
        <w:t>1. Соответствие газоиспользующего оборудования требованиям, установленным настоящим техническим регламентом, обеспечивается выполнением его требований непосредс</w:t>
      </w:r>
      <w:r>
        <w:t>твенно, либо выполнением требований межгосударственных стандартов, а в случае их отсутствия (до принятия межгосударственных стандартов) - национальных (государственных) стандартов государств - членов Таможенного союза, в результате применения которых на до</w:t>
      </w:r>
      <w:r>
        <w:t>бровольной основе обеспечивается соблюдение требований технического регламента Таможенного союза, 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</w:t>
      </w:r>
      <w:r>
        <w:t>ребований технического регламента Таможенного союза и осуществления оценки (подтверждения) соответствия продукции (далее - стандарты).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Выполнение на добровольной основе требований данных стандартов свидетельствует о соответствии требованиям безопасности н</w:t>
      </w:r>
      <w:r>
        <w:t>астоящего технического регламента.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2. Перечни стандартов, указанных в </w:t>
      </w:r>
      <w:r>
        <w:fldChar w:fldCharType="begin"/>
      </w:r>
      <w:r>
        <w:instrText xml:space="preserve"> HYPERLINK "kodeks://link/d?nd=902320337&amp;point=mark=000000000000000000000000000000000000000000000000007E40KG"\o"’’ТР ТС 016/2011 Технический регламент Таможенного союза ’’О безопасности</w:instrText>
      </w:r>
      <w:r>
        <w:instrText xml:space="preserve">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пункте 1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утверждает Комиссия Таможенного союза (далее - Комис</w:t>
      </w:r>
      <w:r>
        <w:t>сия).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6. Подтверждение соответствия </w:t>
      </w:r>
    </w:p>
    <w:p w:rsidR="00000000" w:rsidRDefault="00596E71">
      <w:pPr>
        <w:pStyle w:val="FORMATTEXT"/>
        <w:ind w:firstLine="568"/>
        <w:jc w:val="both"/>
      </w:pPr>
      <w:r>
        <w:t>1. Подтверждение соответствия газоиспользующего оборудования требованиям настоящего технического регламента носит обязательный характер и осуществляется в формах декларирования соответствия или сертификации.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2. Формы подтверждения соответствия, предусмотренные для определенных видов (типов) газоиспользующего оборудования, указаны в приложении 1 к настоящему техническому регламенту.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3. Подтверждение соответствия газоиспользующего оборудования осуществляется по</w:t>
      </w:r>
      <w:r>
        <w:t xml:space="preserve"> схемам, установленным в техническом регламенте в соответствии с Положением о порядке применения типовых схем оценки (подтверждения) соответствия требованиям технических регламентов Таможенного союза, утвержденным Комиссией.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4. По желанию заявителя деклар</w:t>
      </w:r>
      <w:r>
        <w:t>ирование соответствия может быть заменено сертификацией по схемам сертификации, эквивалентным схемам декларирования соответствия, предусмотренным для газоиспользующего оборудования настоящим техническим регламентом, в том числе при отсутствии или недостато</w:t>
      </w:r>
      <w:r>
        <w:t>чности у заявителя собственных доказательств подтверждения соответствия требованиям настоящего технического регламента.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5. Декларирование соответствия газоиспользующего оборудования, осуществляется по одной из следующих схем: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схема 1Д - декларирование со</w:t>
      </w:r>
      <w:r>
        <w:t>ответствия газоиспользующего оборудования, выпускаемого серийно, на основании результатов испытаний типовых образцов газоиспользующего оборудования, проведенных изготовителем, и производственного контроля, осуществляемого изготовителем;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схема 2Д - деклари</w:t>
      </w:r>
      <w:r>
        <w:t>рование соответствия партии (единичного изделия) газоиспользующего оборудования на основании результатов испытаний типовых образцов (единичного изделия) газоиспользующего оборудования, проведенных заявителем;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схема 3Д - декларирование соответствия газоисп</w:t>
      </w:r>
      <w:r>
        <w:t>ользующего оборудования, выпускаемого серийно, на основании результатов испытаний типовых образцов газоиспользующего оборудования, проведенных аккредитованной испытательной лабораторией (центром), включенной в Единый реестр органов по сертификации и испыта</w:t>
      </w:r>
      <w:r>
        <w:t>тельных лабораторий (центров) Таможенного союза (далее - аккредитованная испытательная лаборатория), и производственного контроля, осуществляемого изготовителем;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схема 4Д - декларирование соответствия партии (единичного изделия) газоиспользующего оборудов</w:t>
      </w:r>
      <w:r>
        <w:t>ания на основании результатов испытаний типовых образцов (единичного изделия) газоиспользующего оборудования, проведенных аккредитованной испытательной лабораторией (центром).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Выбор схемы декларирования соответствия газоиспользующего оборудования осуществ</w:t>
      </w:r>
      <w:r>
        <w:t>ляется изготовителем (уполномоченным изготовителем лицом), импортером.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При декларировании соответствия партии газоиспользующего оборудования по схемам 2Д, 4Д заявителем может быть зарегистрированное в соответствии с законодательством государства - члена Т</w:t>
      </w:r>
      <w:r>
        <w:t>аможенного союза на его территории юридическое лицо или физическое лицо,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ним, в части обеспе</w:t>
      </w:r>
      <w:r>
        <w:t>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(лицо, выполняющее функции иностран</w:t>
      </w:r>
      <w:r>
        <w:t>ного изготовителя).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При декларировании соответствия газоиспользующего оборудования, выпускаемого серийно, по схемам 1Д, 3Д заявителем может быть зарегистрированное в соответствии с законодательством государства - члена Таможенного союза на его территории </w:t>
      </w:r>
      <w:r>
        <w:t>юридическое лицо или физическое лицо, в качестве индивидуального предпринимателя, либо являющееся изготовителем, либо выполняющее функции иностранного изготовителя на основании договора с ним, в части обеспечения соответствия поставляемой продукции требова</w:t>
      </w:r>
      <w:r>
        <w:t>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(лицо, выполняющее функции иностранного изготовителя).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6. При декларировании соотве</w:t>
      </w:r>
      <w:r>
        <w:t xml:space="preserve">тствия по схемам 1Д, 2Д заявитель самостоятельно формирует доказательственные материалы в целях подтверждения соответствия газоиспользующего оборудования требованиям настоящего технического регламента. В качестве доказательственных материалов используются </w:t>
      </w:r>
      <w:r>
        <w:t>техническая документация, результаты собственных исследований (испытаний) и измерений.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7. Доказательственные материалы при декларировании соответствия по схемам 1Д, 2Д должны включать в себя: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техническое описание объекта подтверждения соответствия (пр</w:t>
      </w:r>
      <w:r>
        <w:t>и отсутствии руководства по эксплуатации);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lastRenderedPageBreak/>
        <w:t>б) техническую документацию, послужившую основанием для заявления о соответствии декларируемого газоиспользующего оборудования требованиям настоящего технического регламента;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протокол (протоколы) испытаний га</w:t>
      </w:r>
      <w:r>
        <w:t>зоиспользующего оборудования, проведенных заявителем и (или) аккредитованной испытательной лабораторией;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г) эксплуатационные документы;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д) перечень стандартов, указанных в </w:t>
      </w:r>
      <w:r>
        <w:fldChar w:fldCharType="begin"/>
      </w:r>
      <w:r>
        <w:instrText xml:space="preserve"> HYPERLINK "kodeks://link/d?nd=902320337&amp;point=mark=000000000000000000000000000000</w:instrText>
      </w:r>
      <w:r>
        <w:instrText>000000000000000000007E40KG"\o"’’ТР ТС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</w:instrText>
      </w:r>
      <w:r>
        <w:instrText>ствует с 15.02.2013"</w:instrText>
      </w:r>
      <w:r>
        <w:fldChar w:fldCharType="separate"/>
      </w:r>
      <w:r>
        <w:rPr>
          <w:color w:val="0000AA"/>
          <w:u w:val="single"/>
        </w:rPr>
        <w:t>пункте 1 статьи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требованиям которых должно соответствовать данное газоиспользующее оборудование (при их применении изготовителем);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е) пояснительную записку, содержащую описание принятых технических решений, подтверждающих выполн</w:t>
      </w:r>
      <w:r>
        <w:t xml:space="preserve">ение требований безопасности настоящего технического регламента, если стандарты, указанные в </w:t>
      </w:r>
      <w:r>
        <w:fldChar w:fldCharType="begin"/>
      </w:r>
      <w:r>
        <w:instrText xml:space="preserve"> HYPERLINK "kodeks://link/d?nd=902320337&amp;point=mark=000000000000000000000000000000000000000000000000007E40KG"\o"’’ТР ТС 016/2011 Технический регламент Таможенного </w:instrText>
      </w:r>
      <w:r>
        <w:instrText>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пункте 1 статьи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отсутствуют или не применялись;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ж) тов</w:t>
      </w:r>
      <w:r>
        <w:t>аросопроводительную документацию (для партии, единичного изделия);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з) сертификат на систему менеджмента изготовителя (при наличии);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и) сведения о проведенных исследованиях (при наличии);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к) другие документы, прямо или косвенно подтверждающие соответстви</w:t>
      </w:r>
      <w:r>
        <w:t>е газоиспользующего оборудования требованиям безопасности настоящего технического регламента (при наличии).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8. При декларировании соответствия по схемам 3Д, 4Д заявитель наряду с собственными доказательственными материалами, использует доказательства, пол</w:t>
      </w:r>
      <w:r>
        <w:t>ученные с участием органа по сертификации (оценке (подтверждению) соответствия), включенного в Единый реестр органов по сертификации и испытательных лабораторий (центров) Таможенного союза (далее - орган по сертификации (оценке (подтверждению) соответствия</w:t>
      </w:r>
      <w:r>
        <w:t>), и (или) аккредитованной испытательной лаборатории.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В дополнение к доказательственным материалам, предусмотренным подпунктами а) - и) </w:t>
      </w:r>
      <w:r>
        <w:fldChar w:fldCharType="begin"/>
      </w:r>
      <w:r>
        <w:instrText xml:space="preserve"> HYPERLINK "kodeks://link/d?nd=902320337&amp;point=mark=000000000000000000000000000000000000000000000000007E60KG"\o"’’ТР ТС</w:instrText>
      </w:r>
      <w:r>
        <w:instrText xml:space="preserve">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пункта 7 статьи 6</w:t>
      </w:r>
      <w:r>
        <w:rPr>
          <w:color w:val="0000AA"/>
          <w:u w:val="single"/>
        </w:rPr>
        <w:t xml:space="preserve">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включается протокол испытаний типовых образцов газоиспользующего оборудования, проведенных аккредитованной испытательной лабораторией (центром) (далее - протокол испытаний), и результаты производственного контроля, </w:t>
      </w:r>
      <w:r>
        <w:t>выполненного изготовителем (при декларировании соответствия по схеме 3Д).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9. Декларирование соответствия включает в себя следующие процедуры, выполняемые заявителем: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формирование и анализ технической документации;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осуществление производственного к</w:t>
      </w:r>
      <w:r>
        <w:t>онтроля при декларировании соответствия по схемам 1Д, 3Д;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проведение испытаний типовых образцов газоиспользующего оборудования (единичного изделия) заявителем (схемы 1Д, 2Д) и (или) в аккредитованной испытательной лаборатории (схемы 3Д, 4Д);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г) оформл</w:t>
      </w:r>
      <w:r>
        <w:t>ение и регистрация декларации о соответствии в соответствии с порядком, утвержденным Комиссий Таможенного союза;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д) маркировка единым знаком обращения продукции на рынке государств - членов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Декларация о соответствии оформляется по един</w:t>
      </w:r>
      <w:r>
        <w:t>ой форме, утвержденной решением Комиссии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10. Срок действия декларации о соответствии для газоиспользующего оборудования, выпускаемого серийно, - не более 3 лет, для партии газоиспользующего оборудования (единичного изделия) срок действи</w:t>
      </w:r>
      <w:r>
        <w:t>я декларации о соответствии не устанавливается.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Декларация о соответствии партии газоиспользующего оборудования требованиям настоящего </w:t>
      </w:r>
      <w:r>
        <w:lastRenderedPageBreak/>
        <w:t>технического регламента действует только в отношении оборудования, относящегося к конкретной партии.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11. Сертификация г</w:t>
      </w:r>
      <w:r>
        <w:t xml:space="preserve">азоиспользующего оборудования осуществляется на основании договора между заявителем и органом по сертификации (оценке (подтверждению) соответствия) по схемам, установленным </w:t>
      </w:r>
      <w:r>
        <w:fldChar w:fldCharType="begin"/>
      </w:r>
      <w:r>
        <w:instrText xml:space="preserve"> HYPERLINK "kodeks://link/d?nd=902320337&amp;point=mark=0000000000000000000000000000000</w:instrText>
      </w:r>
      <w:r>
        <w:instrText>00000000000000000007E00KC"\o"’’ТР ТС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</w:instrText>
      </w:r>
      <w:r>
        <w:instrText>твует с 15.02.2013"</w:instrText>
      </w:r>
      <w:r>
        <w:fldChar w:fldCharType="separate"/>
      </w:r>
      <w:r>
        <w:rPr>
          <w:color w:val="0000AA"/>
          <w:u w:val="single"/>
        </w:rPr>
        <w:t>пунктом 12 статьи 6 настоящего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12. Для подтверждения соответствия газоиспользующего оборудования требованиям настоящего технического регламента устанавливаются следующие схемы сертификации: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схема 1С - се</w:t>
      </w:r>
      <w:r>
        <w:t xml:space="preserve">ртификация газоиспользующего оборудования, выпускаемого серийно, на основании результатов испытаний типовых образцов, проведенных аккредитованной испытательной лабораторией (центром), с осуществлением анализа состояния производства этого газоиспользующего </w:t>
      </w:r>
      <w:r>
        <w:t>оборудования и последующего контроля органом по сертификации (оценке (подтверждению) соответствия) сертифицированного газоиспользующего оборудования;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схема 3С - сертификация партии газоиспользующего оборудования на основании результатов испытаний типов</w:t>
      </w:r>
      <w:r>
        <w:t>ых образцов газоиспользующего оборудования, проведенных аккредитованной испытательной лабораторией (центром);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схема 4С - сертификация единичных образцов газоиспользующего оборудования на основании результатов их испытаний, проведенных аккредитованной и</w:t>
      </w:r>
      <w:r>
        <w:t>спытательной лабораторией (центром).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13. При сертификации газоиспользующего оборудования по схеме 1С заявителем может быть зарегистрированное в соответствии с законодательством государства - члена Таможенного союза на его территории юридическое лицо или ф</w:t>
      </w:r>
      <w:r>
        <w:t>изическое лицо в качестве индивидуального предпринимателя, либо являющееся изготовителем, либо выполняющее функции иностранного изготовителя на основании договора с ним, в части обеспечения соответствия поставляемой продукции требованиям настоящего техниче</w:t>
      </w:r>
      <w:r>
        <w:t>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(лицо, выполняющее функции иностранного изготовителя).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При сертификации газоиспользующего оборудования по </w:t>
      </w:r>
      <w:r>
        <w:t>схемам 3С и 4С заявителем может быть зарегистрированное в соответствии с законодательством государства - 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</w:t>
      </w:r>
      <w:r>
        <w:t>м или продавцом, либо выполняющее функции иностранного изготовителя на основании договора с ним,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</w:t>
      </w:r>
      <w:r>
        <w:t xml:space="preserve"> продукции требованиям настоящего технического регламента Таможенного союза (лицо, выполняющее функции иностранного изготовителя).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14. Для осуществления сертификации газоиспользующего оборудования заявитель формирует комплект документов, который должен вк</w:t>
      </w:r>
      <w:r>
        <w:t>лючать в себя: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техническую документацию газоиспользующего оборудования;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б) перечень стандартов, указанных в </w:t>
      </w:r>
      <w:r>
        <w:fldChar w:fldCharType="begin"/>
      </w:r>
      <w:r>
        <w:instrText xml:space="preserve"> HYPERLINK "kodeks://link/d?nd=902320337&amp;point=mark=000000000000000000000000000000000000000000000000007E40KG"\o"’’ТР ТС 016/2011 Технический ре</w:instrText>
      </w:r>
      <w:r>
        <w:instrText>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пункте 1 статьи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требованиям которы</w:t>
      </w:r>
      <w:r>
        <w:t>х должно соответствовать данное газоиспользующее оборудование (если применялись);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е) пояснительную записку, содержащую описание принятых технических решений, подтверждающих выполнение требований безопасности настоящего технического регламента, если станда</w:t>
      </w:r>
      <w:r>
        <w:t xml:space="preserve">рты, указанные в </w:t>
      </w:r>
      <w:r>
        <w:fldChar w:fldCharType="begin"/>
      </w:r>
      <w:r>
        <w:instrText xml:space="preserve"> HYPERLINK "kodeks://link/d?nd=902320337&amp;point=mark=000000000000000000000000000000000000000000000000007E40KG"\o"’’ТР ТС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</w:instrText>
      </w:r>
      <w:r>
        <w:instrText>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пункте 1 статьи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отсутствуют или не применялись;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г) протокол (протоколы) испытаний типового (единичного) образца, проведенные изгот</w:t>
      </w:r>
      <w:r>
        <w:t>овителем или аккредитованной испытательной лабораторией (при наличии);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д) сертификаты соответствия (декларации о соответствии) на устройства, находящиеся в обращении отдельно от газоиспользующего оборудования, предназначенные для встраивания в газоиспольз</w:t>
      </w:r>
      <w:r>
        <w:t>ующее оборудование (при наличии таких устройств, встроенных в оборудование);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е) сертификат (копия сертификата) системы менеджмента качества (при наличии);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ж) другие по выбору заявителя документы, прямо или косвенно подтверждающие соответствие </w:t>
      </w:r>
      <w:r>
        <w:lastRenderedPageBreak/>
        <w:t>газоиспольз</w:t>
      </w:r>
      <w:r>
        <w:t>ующего оборудования требованиям, установленным настоящим техническим регламентом.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15. Сертификация газоиспользующего оборудования включает в себя следующие процедуры: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подачу заявителем в орган по сертификации (оценке (подтверждению) соответствия) заяв</w:t>
      </w:r>
      <w:r>
        <w:t xml:space="preserve">ки на проведение сертификации газоиспользующего оборудования (далее - заявка) с прилагаемым комплектом документов, указанным в </w:t>
      </w:r>
      <w:r>
        <w:fldChar w:fldCharType="begin"/>
      </w:r>
      <w:r>
        <w:instrText xml:space="preserve"> HYPERLINK "kodeks://link/d?nd=902320337&amp;point=mark=000000000000000000000000000000000000000000000000007E40KE"\o"’’ТР ТС 016/2011 </w:instrText>
      </w:r>
      <w:r>
        <w:instrText>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пункте 14 настоящей статьи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рассмотрение заявки и принятие по ней решения органом по сертификации (оценке (подтверждению) соответствия);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отбор органом по сертификации (оценке (подтверждению) соответствия) типовых образцов газоиспользующего оборудования для проведения исп</w:t>
      </w:r>
      <w:r>
        <w:t>ытаний в аккредитованной испытательной лаборатории (центре);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г) проведение испытаний образца(ов) газоиспользующего оборудования аккредитованной испытательной лабораторией (центром);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д) проведение органом по сертификации (оценке (подтверждению) соответств</w:t>
      </w:r>
      <w:r>
        <w:t>ия) анализа представленного заявителем комплекта документов;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е) проведение органом по сертификации (оценке (подтверждению) соответствия) анализа состояния производства газоиспользующего оборудования, если такой анализ предусмотрен соответствующей схемой с</w:t>
      </w:r>
      <w:r>
        <w:t>ертификации.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При наличии у изготовителя сертифицированной системы менеджмента качества производства или разработки и производства газоиспользующего оборудования орган по сертификации (оценке (подтверждению) соответствия) оценивает возможность данной систе</w:t>
      </w:r>
      <w:r>
        <w:t>мы обеспечивать стабильный выпуск сертифицируемого газоиспользующего оборудования, соответствующего требованиям настоящего технического регламента;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ж) обобщение результатов испытаний, анализа технической документации и состояния производства газоиспользую</w:t>
      </w:r>
      <w:r>
        <w:t>щего оборудования или оценки системы менеджмента качества и при положительном результате выдачу заявителю сертификата соответствия;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з) маркировка единым знаком обращения продукции на рынке государств - членов Таможенного союза;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и) инспекционный контроль </w:t>
      </w:r>
      <w:r>
        <w:t>за сертифицированным газоиспользующим оборудованием, если такой контроль предусмотрен схемой сертификации.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16. Заявитель подает заявку по своему выбору в любой из органов по сертификации (оценке (подтверждению) соответствия).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17. Если схема сертификации </w:t>
      </w:r>
      <w:r>
        <w:t>предусматривает проведение испытаний, заявитель должен предоставить в распоряжение органа по сертификации (оценке (подтверждению) соответствия) типовой образец газоиспользующего оборудования, представляющий данное производство. Протокол испытаний может охв</w:t>
      </w:r>
      <w:r>
        <w:t>атывать несколько моделей (типов) газоиспользующего оборудования при условии, что различие между моделями (типами) не влияет на уровень безопасности и иные требования относительно использования газоиспользующего оборудования. В случае необходимости проведе</w:t>
      </w:r>
      <w:r>
        <w:t>ния дополнительных испытаний, которые не могут быть проведены на уже отобранном типовом образце, органом по сертификации (оценке (подтверждению) соответствия) могут отбираться дополнительные типовые образцы.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18. Испытания типового образца проводит аккреди</w:t>
      </w:r>
      <w:r>
        <w:t>тованная испытательная лаборатория (центр) на основании договора с заявителем или органом по сертификации (оценке (подтверждению) соответствия), которому выдается протокол испытаний. Допускается проводить испытания типового образца аккредитованной испытате</w:t>
      </w:r>
      <w:r>
        <w:t xml:space="preserve">льной лабораторией (центром) у изготовителя или на месте эксплуатации, если типовой образец отвечает признакам, установленным </w:t>
      </w:r>
      <w:r>
        <w:fldChar w:fldCharType="begin"/>
      </w:r>
      <w:r>
        <w:instrText xml:space="preserve"> HYPERLINK "kodeks://link/d?nd=902320337&amp;point=mark=000000000000000000000000000000000000000000000000007DA0K6"\o"’’ТР ТС 016/2011 Т</w:instrText>
      </w:r>
      <w:r>
        <w:instrText>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пунктом 6 статьи 1 настоящег</w:t>
      </w:r>
      <w:r>
        <w:rPr>
          <w:color w:val="0000AA"/>
          <w:u w:val="single"/>
        </w:rPr>
        <w:t>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19. При положительных результатах анализа представленной заявителем технической документации, результатов испытаний типового образца и анализа состояния производства </w:t>
      </w:r>
      <w:r>
        <w:lastRenderedPageBreak/>
        <w:t>газоиспользующего оборудования орган по сертификации (оцен</w:t>
      </w:r>
      <w:r>
        <w:t>ке (подтверждению) соответствия) оформляет сертификат соответствия, регистрирует его и выдает заявителю.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</w:t>
      </w:r>
      <w:r>
        <w:t>етствия.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Сертификат соответствия оформляется по Единой форме, утвержденной решением Комиссии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Срок действия сертификата соответствия для газоиспользующего оборудования, выпускаемого серийно, - не более 5 лет, для партии газоиспользующег</w:t>
      </w:r>
      <w:r>
        <w:t>о оборудования (единичного изделия) срок действия сертификата соответствия не устанавливается. Сертификат соответствия в отношении партии газоиспользующего оборудования действует только в отношении оборудования, относящегося к конкретной партии.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20. Заяви</w:t>
      </w:r>
      <w:r>
        <w:t>тель, в том числе заявитель, являющийся продавцом (поставщиком) газоиспользующего оборудования, на основании полученного сертификата соответствия маркирует газоиспользующее оборудование единым знаком обращения продукции на рынке государств - членов Таможен</w:t>
      </w:r>
      <w:r>
        <w:t>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21. Орган по сертификации (оценке (подтверждению) соответствия) не реже одного раза в два года в течение всего срока действия сертификата соответствия проводит инспекционный контроль за сертифицированным газоиспользующим оборудованием, выпуска</w:t>
      </w:r>
      <w:r>
        <w:t>емым серийно, посредством испытаний образцов в аккредитованной испытательной лаборатории (центре) и (или) анализа состояния производства газоиспользующего оборудования, если такой анализ предусмотрен соответствующей схемой сертификации. Отбор типового обра</w:t>
      </w:r>
      <w:r>
        <w:t>зца для испытаний по усмотрению органа по сертификации (оценке (подтверждению) соответствия) проводится у изготовителя или продавца.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22. Хранение технической документации.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Техническая документация, включая документы, подтверждающие соответствие на террит</w:t>
      </w:r>
      <w:r>
        <w:t>ории государств - членов Таможенного союза, должна храниться: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на газоиспользующее оборудование - у изготовителя (лица, выполняющего функции иностранного изготовителя) в течение не менее 10 лет со дня снятия (прекращения) с производства этого оборудования;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партию газоиспользующего оборудования (единичное изделие) - у продавца (поставщика), изготовителя (лица, выполняющего функции иностранного изготовителя) в течение не менее 10 лет со дня реализации последнего изделия из партии.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Документы и материалы, под</w:t>
      </w:r>
      <w:r>
        <w:t>тверждающие результаты сертификации, хранятся в органе по сертификации, выдавшем сертификат соответствия в течение не менее 5 лет после окончания срока действия сертификата соответствия.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Вышеуказанные документы должны предоставляться органам государственн</w:t>
      </w:r>
      <w:r>
        <w:t>ого контроля (надзора) по их требованию.*</w:t>
      </w:r>
      <w:r>
        <w:fldChar w:fldCharType="begin"/>
      </w:r>
      <w:r>
        <w:instrText xml:space="preserve"> HYPERLINK "kodeks://link/d?nd=902320337&amp;point=mark=000002I0000NVQ000002G20EBBGO31LUVKU0AEIPT83VVVPR8000032I"\o"’’ТР ТС 016/2011 Технический регламент Таможенного союза ’’О безопасности аппаратов, работающих на ...’</w:instrText>
      </w:r>
      <w:r>
        <w:instrText>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6.22.4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7. Маркировка единым знаком обращения продукции на рынке государств - членов Таможенного со</w:t>
      </w:r>
      <w:r>
        <w:rPr>
          <w:b/>
          <w:bCs/>
        </w:rPr>
        <w:t xml:space="preserve">юза </w:t>
      </w:r>
    </w:p>
    <w:p w:rsidR="00000000" w:rsidRDefault="00596E71">
      <w:pPr>
        <w:pStyle w:val="FORMATTEXT"/>
        <w:ind w:firstLine="568"/>
        <w:jc w:val="both"/>
      </w:pPr>
      <w:r>
        <w:t>1. Газоиспользующее оборудование, соответствующее требованиям настоящего технического регламента и прошедшее установленные настоящим техническим регламентом процедуры подтверждения соответствия, должно иметь маркировку единым знаком обращения продукци</w:t>
      </w:r>
      <w:r>
        <w:t>и на рынке государств - членов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2. Единый знак обращения продукции на рынке государств - членов Таможенного союза наносится на каждую единицу газоиспользующего оборудования. Единый знак обращения продукции на рынке государств - членов Та</w:t>
      </w:r>
      <w:r>
        <w:t>моженного союза наносится на само изделие, а также приводится в прилагаемых к нему эксплуатационных документах. Допускается нанесение единого знака обращения продукции на рынке государств - членов Таможенного союза только на упаковку и указание в прилагаем</w:t>
      </w:r>
      <w:r>
        <w:t>ых к нему эксплуатационных документах, если его невозможно нанести непосредственно на газоиспользующее оборудование.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3. Единый знак обращения продукции на рынке государств - членов Таможенного союза наносится на изделие любым способом, обеспечивающим четк</w:t>
      </w:r>
      <w:r>
        <w:t>ое и ясное изображение в течение всего срока службы газоиспользующего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 xml:space="preserve">4. Маркировка единым знаком обращения продукции на рынке государств - членов Таможенного союза осуществляется перед выпуском газоиспользующего оборудования в обращение на </w:t>
      </w:r>
      <w:r>
        <w:t>рынке.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5. Газоиспользующее оборудование маркируется единым знаком обращения продукции на рынке государств - членов Таможенного союза при его соответствии требованиям всех технических регламентов Таможенного союза, распространяющихся на него и предусматрив</w:t>
      </w:r>
      <w:r>
        <w:t>ающих нанесение единого знака обращения продукции на рынке государств - членов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8. Защитительная оговорка </w:t>
      </w:r>
    </w:p>
    <w:p w:rsidR="00000000" w:rsidRDefault="00596E71">
      <w:pPr>
        <w:pStyle w:val="FORMATTEXT"/>
        <w:ind w:firstLine="568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газоис</w:t>
      </w:r>
      <w:r>
        <w:t>пользующего оборудования на единой таможенной территории Таможенного союза, а также изъятия с рынка газоиспользующего оборудования, не соответствующего требованиям настоящего технического регламента.*</w:t>
      </w:r>
      <w:r>
        <w:fldChar w:fldCharType="begin"/>
      </w:r>
      <w:r>
        <w:instrText xml:space="preserve"> HYPERLINK "kodeks://link/d?nd=902320337&amp;point=mark=0000</w:instrText>
      </w:r>
      <w:r>
        <w:instrText>02K000002D20EBBGO31LUVKU0AEIPT83VVVPR8000032I0000NM1"\o"’’ТР ТС 016/2011 Технический регламент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(утв. решением Комиссии Таможенного союза от 09.12.2011 N 875)</w:instrText>
      </w:r>
    </w:p>
    <w:p w:rsidR="00000000" w:rsidRDefault="00596E71">
      <w:pPr>
        <w:pStyle w:val="FORMATTEXT"/>
        <w:ind w:firstLine="568"/>
        <w:jc w:val="both"/>
      </w:pPr>
      <w:r>
        <w:instrText>Технический регламент Таможенног</w:instrText>
      </w:r>
      <w:r>
        <w:instrText>о союза от ...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8.1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jc w:val="right"/>
      </w:pPr>
      <w:r>
        <w:t>Приложение 1</w:t>
      </w:r>
    </w:p>
    <w:p w:rsidR="00000000" w:rsidRDefault="00596E71">
      <w:pPr>
        <w:pStyle w:val="FORMATTEXT"/>
        <w:jc w:val="right"/>
      </w:pPr>
      <w:r>
        <w:t>к техническому регламенту Таможенного</w:t>
      </w:r>
    </w:p>
    <w:p w:rsidR="00000000" w:rsidRDefault="00596E71">
      <w:pPr>
        <w:pStyle w:val="FORMATTEXT"/>
        <w:jc w:val="right"/>
      </w:pPr>
      <w:r>
        <w:t>союза "О безопасности аппаратов,</w:t>
      </w:r>
    </w:p>
    <w:p w:rsidR="00000000" w:rsidRDefault="00596E71">
      <w:pPr>
        <w:pStyle w:val="FORMATTEXT"/>
        <w:jc w:val="right"/>
      </w:pPr>
      <w:r>
        <w:t>работающих на газообразном топливе"</w:t>
      </w:r>
    </w:p>
    <w:p w:rsidR="00000000" w:rsidRDefault="00596E71">
      <w:pPr>
        <w:pStyle w:val="FORMATTEXT"/>
        <w:jc w:val="right"/>
      </w:pPr>
      <w:r>
        <w:t xml:space="preserve">(ТР ТС 016/2011) </w:t>
      </w: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>Перечень газоиспользующего оборудования, в отнош</w:t>
      </w:r>
      <w:r>
        <w:rPr>
          <w:b/>
          <w:bCs/>
        </w:rPr>
        <w:t xml:space="preserve">ении которого устанавливаются требования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"kodeks://link/d?nd=902320337&amp;point=mark=000000000000000000000000000000000000000000000000006520IM"\o"’’ТР ТС 016/2011 Технический регламент Таможенного союза ’’О безопасности аппаратов, работающих на ...’</w:instrText>
      </w:r>
      <w:r>
        <w:rPr>
          <w:b/>
          <w:bCs/>
        </w:rPr>
        <w:instrText>’</w:instrTex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instrText>(утв. решением Комиссии Таможенного союза от 09.12.2011 N 875)</w:instrTex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instrText>Технический регламент Таможенного союза от ...</w:instrTex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15.02.2013"</w:instrText>
      </w:r>
      <w:r w:rsidR="00175A79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технического регламента Таможенного союза "О безопасности аппаратов, работающих на газообразном топливе"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20"/>
        <w:gridCol w:w="2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вида (типа)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подтверждения соответствия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Газоиспользующее оборудование, предназначенное для приготовления пищи, отопления и горячего водоснабжения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Аппараты отопительные газовые бытовые (аппараты отопительные и комбинированные с водяны</w:t>
            </w:r>
            <w:r>
              <w:rPr>
                <w:sz w:val="18"/>
                <w:szCs w:val="18"/>
              </w:rPr>
              <w:t xml:space="preserve">м контуром, конвекторы, камины, воздухонагреватели, кондиционеры со встроенными газовыми воздухонагревателями)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Приборы газовые бытовые для приготовления и подогрева пищи (плиты, панели варочные, шкафы духовые, грили, электроплиты, имеющие н</w:t>
            </w:r>
            <w:r>
              <w:rPr>
                <w:sz w:val="18"/>
                <w:szCs w:val="18"/>
              </w:rPr>
              <w:t xml:space="preserve">е менее одной газовой горелки)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Аппараты водонагревательные проточные газовые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Аппараты водонагревательные емкостные газовые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Плиты и таганы газовые портативные и туристские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Декларирование соответствия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Светил</w:t>
            </w:r>
            <w:r>
              <w:rPr>
                <w:sz w:val="18"/>
                <w:szCs w:val="18"/>
              </w:rPr>
              <w:t xml:space="preserve">ьники газовые бытовые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Декларирование соответствия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Горелки газовые бытовые инфракрасного излучения, устройства газогорелочные для бытовых аппаратов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Декларирование соответствия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Котлы отопительные газовые (до 100 кВт)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Котлы отопительные </w:t>
            </w:r>
            <w:r>
              <w:rPr>
                <w:sz w:val="18"/>
                <w:szCs w:val="18"/>
              </w:rPr>
              <w:t xml:space="preserve">газовые (более 100 кВт)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тепловое газовое для предприятий общественного питания и пищеблоков (котлы стационарные пищеварочные, плиты кухонные, аппараты пищеварочные и жарочные, сковороды опрокидывающиеся, жаровни, фритюрницы, об</w:t>
            </w:r>
            <w:r>
              <w:rPr>
                <w:sz w:val="18"/>
                <w:szCs w:val="18"/>
              </w:rPr>
              <w:t xml:space="preserve">орудование для кипячения и подогрева жидкостей, мармиты для первых и вторых блюд)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Горелки газовые промышленные специального назначения (нагреватели "светлые" инфракрасного излучения)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Радиационные излучатели газовые закрытые </w:t>
            </w:r>
            <w:r>
              <w:rPr>
                <w:sz w:val="18"/>
                <w:szCs w:val="18"/>
              </w:rPr>
              <w:t xml:space="preserve">(излучатели "темные")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Воздухонагреватели газовые промышленные (рекуперативные и смесительные), включая воздухонагреватели с блочными дутьевыми горелками, кондиционеры со встроенными газовыми воздухонагревателями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Теплогенерат</w:t>
            </w:r>
            <w:r>
              <w:rPr>
                <w:sz w:val="18"/>
                <w:szCs w:val="18"/>
              </w:rPr>
              <w:t xml:space="preserve">оры газовые для животноводческих помещений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Брудеры газовые для птичников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Декларирование соответствия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Блочные автоматические горелки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Горелки газовые блочные промышленные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Горелки комбинированные блочные промышленные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</w:t>
            </w:r>
            <w:r>
              <w:rPr>
                <w:sz w:val="18"/>
                <w:szCs w:val="18"/>
              </w:rPr>
              <w:t xml:space="preserve">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Устройства, предназначенные для встраивания в оборудование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Регуляторы давления газа, работающие без постороннего источника энергии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Регуляторы (редукторы) к баллонам газовым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Приборы и средства автоматизации для г</w:t>
            </w:r>
            <w:r>
              <w:rPr>
                <w:sz w:val="18"/>
                <w:szCs w:val="18"/>
              </w:rPr>
              <w:t xml:space="preserve">азовых горелок и аппаратов (блоки и панели для автоматического розжига)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Декларирование соответствия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Арматура газорегулирующая и запорно-предохранительная (клапаны автоматические отсечные, регуляторы давления, термоэлектрические устройства контроля пламе</w:t>
            </w:r>
            <w:r>
              <w:rPr>
                <w:sz w:val="18"/>
                <w:szCs w:val="18"/>
              </w:rPr>
              <w:t xml:space="preserve">ни, краны, термостаты механические)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Декларирование соответствия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Соединения гибкие для газовых горелок и аппаратов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96E71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Сертификация </w:t>
            </w:r>
          </w:p>
        </w:tc>
      </w:tr>
    </w:tbl>
    <w:p w:rsidR="00000000" w:rsidRDefault="00596E7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596E71">
      <w:pPr>
        <w:pStyle w:val="FORMATTEXT"/>
      </w:pPr>
      <w:r>
        <w:t xml:space="preserve">      </w:t>
      </w:r>
    </w:p>
    <w:p w:rsidR="00000000" w:rsidRDefault="00596E71">
      <w:pPr>
        <w:pStyle w:val="FORMATTEXT"/>
      </w:pPr>
      <w:r>
        <w:t xml:space="preserve">      </w:t>
      </w:r>
    </w:p>
    <w:p w:rsidR="00000000" w:rsidRDefault="00596E71">
      <w:pPr>
        <w:pStyle w:val="FORMATTEXT"/>
        <w:jc w:val="right"/>
      </w:pPr>
      <w:r>
        <w:t>Приложение 2</w:t>
      </w:r>
    </w:p>
    <w:p w:rsidR="00000000" w:rsidRDefault="00596E71">
      <w:pPr>
        <w:pStyle w:val="FORMATTEXT"/>
        <w:jc w:val="right"/>
      </w:pPr>
      <w:r>
        <w:t>к техническому регламенту Таможенного</w:t>
      </w:r>
    </w:p>
    <w:p w:rsidR="00000000" w:rsidRDefault="00596E71">
      <w:pPr>
        <w:pStyle w:val="FORMATTEXT"/>
        <w:jc w:val="right"/>
      </w:pPr>
      <w:r>
        <w:t>союза "О безопасности аппаратов,</w:t>
      </w:r>
    </w:p>
    <w:p w:rsidR="00000000" w:rsidRDefault="00596E71">
      <w:pPr>
        <w:pStyle w:val="FORMATTEXT"/>
        <w:jc w:val="right"/>
      </w:pPr>
      <w:r>
        <w:t>работающих на газообразн</w:t>
      </w:r>
      <w:r>
        <w:t>ом топливе"</w:t>
      </w:r>
    </w:p>
    <w:p w:rsidR="00000000" w:rsidRDefault="00596E71">
      <w:pPr>
        <w:pStyle w:val="FORMATTEXT"/>
        <w:jc w:val="right"/>
      </w:pPr>
      <w:r>
        <w:t xml:space="preserve">(ТР ТС 016/2011) </w:t>
      </w: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Требования к эксплуатационной документации </w:t>
      </w:r>
    </w:p>
    <w:p w:rsidR="00000000" w:rsidRDefault="00596E71">
      <w:pPr>
        <w:pStyle w:val="FORMATTEXT"/>
        <w:ind w:firstLine="568"/>
        <w:jc w:val="both"/>
      </w:pPr>
      <w:r>
        <w:t>1. В комплект поставки газоиспользующего оборудования должна входить следующая эксплуатационная документация: инструкция по монтажу, техническому обслуживанию и ремонту</w:t>
      </w:r>
      <w:r>
        <w:t xml:space="preserve"> газоиспользующего оборудования и руководство по его эксплуатации. Указанные документы выполняются на русском языке и на государственном(ых) языке(ах) государства - члена Таможенного союза, при наличии соответствующих требований в законодательстве(ах) госу</w:t>
      </w:r>
      <w:r>
        <w:t>дарства(в) - члена(ов)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Эксплуатационные документы выполняются на бумажных носителях. К ним может быть приложен комплект эксплуатационных документов на электронных носителях.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При необходимости допускается объединять указанные документы.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2. Инструкция по монтажу, техническому обслуживанию и ремонту газоиспользующего оборудования должна содержать следующую информацию: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общее описание газоиспользующего оборудования и порядок его работы;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номинальную тепловую мощность и (или) номиналь</w:t>
      </w:r>
      <w:r>
        <w:t>ную тепловую производительность газоиспользующего оборудования;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виды и номинальные давления используемых газов;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г) порядок перевода газоиспользующего оборудования с одного вида газа на другой;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д) требования к вентиляции помещения, где установлено газ</w:t>
      </w:r>
      <w:r>
        <w:t>оиспользующее оборудование, для обеспечения процесса горения, исключения скопления опасных несгоревших газов и создания условий, обеспечивающих удаление продуктов горения;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е) требования к газовым блочным горелкам и газоиспользующему оборудованию, для кото</w:t>
      </w:r>
      <w:r>
        <w:t>рого предназначены эти горелки, а при необходимости перечень комбинаций, рекомендованный изготовителем, чтобы гарантировать надлежащую сборку и наладку, обеспечить заявленные технические характеристики и безопасность собранного образца газоиспользующего об</w:t>
      </w:r>
      <w:r>
        <w:t>орудования во время эксплуатации;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ж) требования к химическому составу воды для отопительного оборудования (в случае, когда вода является теплоносителем);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з) номинальное напряжение электрической сети для газоиспользующего оборудования с электрическим пита</w:t>
      </w:r>
      <w:r>
        <w:t>нием систем автоматики;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и) виды и периодичность технического обслуживания, которому должно подвергаться газоиспользующее оборудование в процессе его эксплуатации;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к) характерные неисправности газоиспользующего оборудования и методы их устранения;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л) тре</w:t>
      </w:r>
      <w:r>
        <w:t>бования к воздухообмену в помещении, где допускается установка отопительного и водонагревательного газоиспользующего оборудования, не соединенного с дымоходом и не оснащенного вытяжным устройством для отвода продуктов сгорания;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м) наименование и местонахо</w:t>
      </w:r>
      <w:r>
        <w:t>ждение изготовителя (лица, выполняющего функции иностранного изготовителя), информацию для связи с ними;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н) месяц и год изготовления газоиспользующего оборудования и (или) информацию о месте нанесения и способе определения года изготовления.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3. Руководст</w:t>
      </w:r>
      <w:r>
        <w:t>во по эксплуатации газоиспользующего оборудования должно содержать все сведения, необходимые для его безопасной эксплуатации в течение срока службы, и указывать пользователю на ограничение его возможностей.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4. В руководстве по эксплуатации должны быть уст</w:t>
      </w:r>
      <w:r>
        <w:t>ановлены рекомендации по безопасной утилизации газоиспользующего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5. Арматура, предназначенная для монтажа газоиспользующего оборудования, и устройства, предназначенные для встраивания в газоиспользующее оборудование, должны поставляться в ко</w:t>
      </w:r>
      <w:r>
        <w:t>мплекте с инструкцией по монтажу, техническому обслуживанию и ремонту газоиспользующего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jc w:val="right"/>
      </w:pPr>
      <w:r>
        <w:t>Приложение 3</w:t>
      </w:r>
    </w:p>
    <w:p w:rsidR="00000000" w:rsidRDefault="00596E71">
      <w:pPr>
        <w:pStyle w:val="FORMATTEXT"/>
        <w:jc w:val="right"/>
      </w:pPr>
      <w:r>
        <w:t>к техническому регламенту Таможенного</w:t>
      </w:r>
    </w:p>
    <w:p w:rsidR="00000000" w:rsidRDefault="00596E71">
      <w:pPr>
        <w:pStyle w:val="FORMATTEXT"/>
        <w:jc w:val="right"/>
      </w:pPr>
      <w:r>
        <w:t>союза "О безопасности аппаратов,</w:t>
      </w:r>
    </w:p>
    <w:p w:rsidR="00000000" w:rsidRDefault="00596E71">
      <w:pPr>
        <w:pStyle w:val="FORMATTEXT"/>
        <w:jc w:val="right"/>
      </w:pPr>
      <w:r>
        <w:lastRenderedPageBreak/>
        <w:t>работающих на газообразном топливе"</w:t>
      </w:r>
    </w:p>
    <w:p w:rsidR="00000000" w:rsidRDefault="00596E71">
      <w:pPr>
        <w:pStyle w:val="FORMATTEXT"/>
        <w:jc w:val="right"/>
      </w:pPr>
      <w:r>
        <w:t xml:space="preserve">(ТР ТС 016/2011) </w:t>
      </w:r>
    </w:p>
    <w:p w:rsidR="00000000" w:rsidRDefault="00596E71">
      <w:pPr>
        <w:pStyle w:val="HEADERTEXT"/>
        <w:rPr>
          <w:b/>
          <w:bCs/>
        </w:rPr>
      </w:pP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596E71">
      <w:pPr>
        <w:pStyle w:val="HEADERTEXT"/>
        <w:jc w:val="center"/>
        <w:rPr>
          <w:b/>
          <w:bCs/>
        </w:rPr>
      </w:pPr>
      <w:r>
        <w:rPr>
          <w:b/>
          <w:bCs/>
        </w:rPr>
        <w:t>Т</w:t>
      </w:r>
      <w:r>
        <w:rPr>
          <w:b/>
          <w:bCs/>
        </w:rPr>
        <w:t xml:space="preserve">ребования к маркировке и упаковке </w:t>
      </w:r>
    </w:p>
    <w:p w:rsidR="00000000" w:rsidRDefault="00596E71">
      <w:pPr>
        <w:pStyle w:val="FORMATTEXT"/>
        <w:ind w:firstLine="568"/>
        <w:jc w:val="both"/>
      </w:pPr>
      <w:r>
        <w:t>1. Каждая единица газоиспользующего оборудования, выпускаемого в обращение на рынке государств - членов Таможенного союза, должна иметь разборчивую, легко читаемую маркировку, нанесенную в доступном для осмотра без разбор</w:t>
      </w:r>
      <w:r>
        <w:t>ки с применением инструмента месте, сохраняемую в течение срока службы газоиспользующего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2. Информация, содержащаяся в маркировке газоиспользующего оборудования, излагается на русском языке и на государственном(ых) языке(ах) государства - чл</w:t>
      </w:r>
      <w:r>
        <w:t>ена Таможенного союза, при наличии соответствующих требований в законодательстве(ах) государства(в) - члена(ов) Таможенного союза.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3. Маркировка должна содержать следующую информацию: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наименование и (или) товарный знак изготовителя, наименование стран</w:t>
      </w:r>
      <w:r>
        <w:t>ы, где изготовлена продукция;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модель (тип) оборудования;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серийный номер (номер партии);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г) дата изготовления оборудования (месяц, год);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д) номинальная тепловая мощность и (или) номинальная тепловая производительность газоиспользующего оборудовани</w:t>
      </w:r>
      <w:r>
        <w:t>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е) вид и номинальное давление используемого газа;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ж) напряжение, частота электрического тока и потребляемая электрическая мощность (для газоиспользующего оборудования, подключаемого к электрической сети).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4. Предупредительные надписи, нанесенные на г</w:t>
      </w:r>
      <w:r>
        <w:t>азоиспользующее оборудование, должны информировать пользователя: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об опасности взрыва, пожара, отравления угарным газом, вредного термического воздействия, поражения электрическим током (в части газоиспользующего оборудования, подключаемого к электричес</w:t>
      </w:r>
      <w:r>
        <w:t>кой сети);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о необходимости установки газоиспользующего оборудования в хорошо проветриваемых помещениях (в части газоиспользующего оборудования с отводом продуктов сгорания в помещение).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5. Все присоединительные отверстия трубопроводов должны быть закр</w:t>
      </w:r>
      <w:r>
        <w:t>ыты транспортировочными заглушками.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6. Каждая единица газоиспользующего оборудования должна быть упакована так, чтобы обеспечить его сохранность при хранении и транспортировании.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7. Упаковка должна обеспечивать условия транспортирования, погрузки и разгр</w:t>
      </w:r>
      <w:r>
        <w:t>узки газоиспользующего оборудования.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8. На упаковку с внешней стороны должна быть нанесена маркировка.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9. Маркировка должна быть четкой и хорошо различимой, нанесена несмываемой или водоотталкивающей краской, контрастной с цветом упаковки.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10. Маркировк</w:t>
      </w:r>
      <w:r>
        <w:t>а на упаковке должна содержать следующую информацию: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а) модель (тип) оборудования;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б) вид и номинальное давление используемого газа;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в) манипуляционные знаки;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г) наименование и (или) товарный знак изготовителя, наименование страны, где изготовлена прод</w:t>
      </w:r>
      <w:r>
        <w:t>укция.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11. Манипуляционные знаки должны дублироваться на разных местах упаковки.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t>12. Допускается маркировать только упаковку, если маркировку невозможно нанести непосредственно на газоиспользующее оборудование ввиду особенностей конструкции.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</w:pPr>
      <w:r>
        <w:t xml:space="preserve">      </w:t>
      </w:r>
    </w:p>
    <w:p w:rsidR="00000000" w:rsidRDefault="00596E71">
      <w:pPr>
        <w:pStyle w:val="FORMATTEXT"/>
        <w:ind w:firstLine="568"/>
        <w:jc w:val="both"/>
      </w:pPr>
      <w:r>
        <w:rPr>
          <w:i/>
          <w:iCs/>
        </w:rPr>
        <w:t>Текс</w:t>
      </w:r>
      <w:r>
        <w:rPr>
          <w:i/>
          <w:iCs/>
        </w:rPr>
        <w:t xml:space="preserve">т Перечня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аппаратов, работающих на газообразном топливе", см. по </w:t>
      </w:r>
      <w:r>
        <w:fldChar w:fldCharType="begin"/>
      </w:r>
      <w:r>
        <w:instrText xml:space="preserve"> HYPERLINK "kodeks://link/d?n</w:instrText>
      </w:r>
      <w:r>
        <w:instrText>d=902320289&amp;point=mark=000000000000000000000000000000000000000000000000007DK0KB"\o"’’О принятии технического регламента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Комиссии Таможенного союза от 09.12.2011 N 875</w:instrText>
      </w:r>
    </w:p>
    <w:p w:rsidR="00000000" w:rsidRDefault="00596E71">
      <w:pPr>
        <w:pStyle w:val="FORMATTEXT"/>
        <w:ind w:firstLine="568"/>
        <w:jc w:val="both"/>
        <w:rPr>
          <w:i/>
          <w:iCs/>
        </w:rPr>
      </w:pPr>
      <w:r>
        <w:instrText>Статус: действу</w:instrText>
      </w:r>
      <w:r>
        <w:instrText>ющая редакция (действ. с 06.03.2015)"</w:instrText>
      </w:r>
      <w:r>
        <w:fldChar w:fldCharType="separate"/>
      </w:r>
      <w:r>
        <w:rPr>
          <w:color w:val="0000AA"/>
          <w:u w:val="single"/>
        </w:rPr>
        <w:t>ссылке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i/>
          <w:iCs/>
        </w:rPr>
        <w:t>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  <w:ind w:firstLine="568"/>
        <w:jc w:val="both"/>
      </w:pPr>
      <w:r>
        <w:rPr>
          <w:i/>
          <w:iCs/>
        </w:rPr>
        <w:t>Текст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</w:t>
      </w:r>
      <w:r>
        <w:rPr>
          <w:i/>
          <w:iCs/>
        </w:rPr>
        <w:t xml:space="preserve">моженного союза "О безопасности аппаратов, работающих на газообразном топливе" и осуществления оценки (подтверждения) соответствия продукции, см. по </w:t>
      </w:r>
      <w:r>
        <w:fldChar w:fldCharType="begin"/>
      </w:r>
      <w:r>
        <w:instrText xml:space="preserve"> HYPERLINK "kodeks://link/d?nd=902320289&amp;point=mark=000000000000000000000000000000000000000000000000007DM0K</w:instrText>
      </w:r>
      <w:r>
        <w:instrText>C"\o"’’О принятии технического регламента Таможенного союза ’’О безопасности аппаратов, работающих на ...’’</w:instrText>
      </w:r>
    </w:p>
    <w:p w:rsidR="00000000" w:rsidRDefault="00596E71">
      <w:pPr>
        <w:pStyle w:val="FORMATTEXT"/>
        <w:ind w:firstLine="568"/>
        <w:jc w:val="both"/>
      </w:pPr>
      <w:r>
        <w:instrText>Решение Комиссии Таможенного союза от 09.12.2011 N 875</w:instrText>
      </w:r>
    </w:p>
    <w:p w:rsidR="00000000" w:rsidRDefault="00596E71">
      <w:pPr>
        <w:pStyle w:val="FORMATTEXT"/>
        <w:ind w:firstLine="568"/>
        <w:jc w:val="both"/>
      </w:pPr>
      <w:r>
        <w:instrText>Статус: действующая редакция (действ. с 06.03.2015)"</w:instrText>
      </w:r>
      <w:r>
        <w:fldChar w:fldCharType="separate"/>
      </w:r>
      <w:r>
        <w:rPr>
          <w:color w:val="0000AA"/>
          <w:u w:val="single"/>
        </w:rPr>
        <w:t>ссылке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i/>
          <w:iCs/>
        </w:rPr>
        <w:t>.</w:t>
      </w:r>
    </w:p>
    <w:p w:rsidR="00000000" w:rsidRDefault="00596E71">
      <w:pPr>
        <w:pStyle w:val="FORMATTEXT"/>
        <w:ind w:firstLine="568"/>
        <w:jc w:val="both"/>
      </w:pPr>
    </w:p>
    <w:p w:rsidR="00000000" w:rsidRDefault="00596E71">
      <w:pPr>
        <w:pStyle w:val="FORMATTEXT"/>
      </w:pPr>
    </w:p>
    <w:p w:rsidR="00000000" w:rsidRDefault="00596E71">
      <w:pPr>
        <w:pStyle w:val="FORMATTEXT"/>
      </w:pPr>
      <w:r>
        <w:t>     </w:t>
      </w:r>
    </w:p>
    <w:p w:rsidR="00000000" w:rsidRDefault="00596E71">
      <w:pPr>
        <w:pStyle w:val="FORMATTEXT"/>
      </w:pPr>
      <w:r>
        <w:t>Электронный текст док</w:t>
      </w:r>
      <w:r>
        <w:t xml:space="preserve">умента </w:t>
      </w:r>
    </w:p>
    <w:p w:rsidR="00000000" w:rsidRDefault="00596E71">
      <w:pPr>
        <w:pStyle w:val="FORMATTEXT"/>
        <w:jc w:val="both"/>
      </w:pPr>
      <w:r>
        <w:t>подготовлен ЗАО "Кодекс" и сверен по:</w:t>
      </w:r>
    </w:p>
    <w:p w:rsidR="00000000" w:rsidRDefault="00596E71">
      <w:pPr>
        <w:pStyle w:val="FORMATTEXT"/>
        <w:jc w:val="both"/>
      </w:pPr>
      <w:r>
        <w:t xml:space="preserve">официальный сайт </w:t>
      </w:r>
    </w:p>
    <w:p w:rsidR="00000000" w:rsidRDefault="00596E71">
      <w:pPr>
        <w:pStyle w:val="FORMATTEXT"/>
        <w:jc w:val="both"/>
      </w:pPr>
      <w:r>
        <w:t>Комиссии Таможенного союза</w:t>
      </w:r>
    </w:p>
    <w:p w:rsidR="00000000" w:rsidRDefault="00596E71">
      <w:pPr>
        <w:pStyle w:val="FORMATTEXT"/>
        <w:jc w:val="both"/>
      </w:pPr>
      <w:r>
        <w:t>www.tsouz.ru</w:t>
      </w:r>
    </w:p>
    <w:p w:rsidR="00000000" w:rsidRDefault="00596E71">
      <w:pPr>
        <w:pStyle w:val="FORMATTEXT"/>
        <w:jc w:val="both"/>
      </w:pPr>
      <w:r>
        <w:t xml:space="preserve">по состоянию на 29.12.2011    </w:t>
      </w:r>
    </w:p>
    <w:p w:rsidR="00000000" w:rsidRDefault="00596E7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"kodeks://link/d?nd=902320337"\o"’’ТР ТС 016/2011 Технический регламент Таможенного союза ’’О безопасности апп</w:instrText>
      </w:r>
      <w:r>
        <w:rPr>
          <w:rFonts w:ascii="Arial, sans-serif" w:hAnsi="Arial, sans-serif"/>
          <w:sz w:val="24"/>
          <w:szCs w:val="24"/>
        </w:rPr>
        <w:instrText>аратов, работающих на ...’’</w:instrText>
      </w:r>
    </w:p>
    <w:p w:rsidR="00000000" w:rsidRDefault="00596E7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(утв. решением Комиссии Таможенного союза от 09.12.2011 N 875)</w:instrText>
      </w:r>
    </w:p>
    <w:p w:rsidR="00000000" w:rsidRDefault="00596E7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Технический регламент Таможенного союза от ...</w:instrText>
      </w:r>
    </w:p>
    <w:p w:rsidR="00596E71" w:rsidRDefault="00596E71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15.02.2013"</w:instrText>
      </w:r>
      <w:r w:rsidR="00175A79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ТР ТС 016/2011 Технический регламент Таможенного союза "О безопасности аппаратов, работ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ающих на газообразном топливе"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596E71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71" w:rsidRDefault="00596E71">
      <w:pPr>
        <w:spacing w:after="0" w:line="240" w:lineRule="auto"/>
      </w:pPr>
      <w:r>
        <w:separator/>
      </w:r>
    </w:p>
  </w:endnote>
  <w:endnote w:type="continuationSeparator" w:id="0">
    <w:p w:rsidR="00596E71" w:rsidRDefault="0059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6E71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 xml:space="preserve">Внимание! Дополнительную информацию см. в ярлыке </w:t>
    </w:r>
    <w:r>
      <w:rPr>
        <w:rFonts w:cs="Arial, sans-serif"/>
      </w:rPr>
      <w:t>"Примечания"</w:t>
    </w:r>
  </w:p>
  <w:p w:rsidR="00000000" w:rsidRDefault="00596E71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71" w:rsidRDefault="00596E71">
      <w:pPr>
        <w:spacing w:after="0" w:line="240" w:lineRule="auto"/>
      </w:pPr>
      <w:r>
        <w:separator/>
      </w:r>
    </w:p>
  </w:footnote>
  <w:footnote w:type="continuationSeparator" w:id="0">
    <w:p w:rsidR="00596E71" w:rsidRDefault="0059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6E71">
    <w:pPr>
      <w:pStyle w:val="COLTOP"/>
      <w:rPr>
        <w:rFonts w:cs="Arial, sans-serif"/>
      </w:rPr>
    </w:pPr>
    <w:r>
      <w:rPr>
        <w:rFonts w:cs="Arial, sans-serif"/>
      </w:rPr>
      <w:t>ТР ТС 016/2011 Технический регламент Таможенного союза "О безопасности аппаратов, работающих на газообразном топливе"</w:t>
    </w:r>
  </w:p>
  <w:p w:rsidR="00000000" w:rsidRDefault="00596E71">
    <w:pPr>
      <w:pStyle w:val="COLTOP"/>
    </w:pPr>
    <w:r>
      <w:rPr>
        <w:rFonts w:cs="Arial, sans-serif"/>
        <w:i/>
        <w:iCs/>
      </w:rPr>
      <w:t>Технический регла</w:t>
    </w:r>
    <w:r>
      <w:rPr>
        <w:rFonts w:cs="Arial, sans-serif"/>
        <w:i/>
        <w:iCs/>
      </w:rPr>
      <w:t>мент Таможенного союза от 09.12.2011 N ТР ТС 016/2011</w:t>
    </w:r>
  </w:p>
  <w:p w:rsidR="00000000" w:rsidRDefault="00596E71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79"/>
    <w:rsid w:val="00175A79"/>
    <w:rsid w:val="005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A8401C-8CEC-4F4E-B8A3-B5D75799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8576</Words>
  <Characters>48887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ТР ТС 016/2011 Технический регламент Таможенного союза "О безопасности аппаратов, работающих на газообразном топливе" </vt:lpstr>
    </vt:vector>
  </TitlesOfParts>
  <Company/>
  <LinksUpToDate>false</LinksUpToDate>
  <CharactersWithSpaces>57349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 ТС 016/2011 Технический регламент Таможенного союза "О безопасности аппаратов, работающих на газообразном топливе"</dc:title>
  <dc:subject/>
  <dc:creator>Минеев Руслан Динарович</dc:creator>
  <cp:keywords/>
  <dc:description/>
  <cp:lastModifiedBy>Минеев Руслан Динарович</cp:lastModifiedBy>
  <cp:revision>2</cp:revision>
  <dcterms:created xsi:type="dcterms:W3CDTF">2019-08-27T07:01:00Z</dcterms:created>
  <dcterms:modified xsi:type="dcterms:W3CDTF">2019-08-27T07:01:00Z</dcterms:modified>
</cp:coreProperties>
</file>